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6B" w:rsidRDefault="0062136B" w:rsidP="0062136B">
      <w:pPr>
        <w:jc w:val="center"/>
      </w:pPr>
      <w:r>
        <w:rPr>
          <w:noProof/>
          <w:lang w:val="en-US" w:eastAsia="en-US"/>
        </w:rPr>
        <w:drawing>
          <wp:inline distT="0" distB="0" distL="0" distR="0">
            <wp:extent cx="5810250" cy="1657350"/>
            <wp:effectExtent l="0" t="0" r="0" b="0"/>
            <wp:docPr id="1" name="Picture 1" descr="Description: 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HRAP_NEW_banner-e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1657350"/>
                    </a:xfrm>
                    <a:prstGeom prst="rect">
                      <a:avLst/>
                    </a:prstGeom>
                    <a:noFill/>
                    <a:ln>
                      <a:noFill/>
                    </a:ln>
                  </pic:spPr>
                </pic:pic>
              </a:graphicData>
            </a:graphic>
          </wp:inline>
        </w:drawing>
      </w:r>
    </w:p>
    <w:p w:rsidR="0062136B" w:rsidRDefault="0062136B" w:rsidP="0062136B">
      <w:pPr>
        <w:autoSpaceDE w:val="0"/>
        <w:autoSpaceDN w:val="0"/>
        <w:adjustRightInd w:val="0"/>
        <w:jc w:val="center"/>
        <w:rPr>
          <w:b/>
          <w:bCs/>
          <w:lang w:eastAsia="en-US"/>
        </w:rPr>
      </w:pPr>
    </w:p>
    <w:p w:rsidR="0062136B" w:rsidRDefault="0062136B" w:rsidP="0062136B">
      <w:pPr>
        <w:autoSpaceDE w:val="0"/>
        <w:autoSpaceDN w:val="0"/>
        <w:adjustRightInd w:val="0"/>
        <w:jc w:val="center"/>
        <w:rPr>
          <w:b/>
          <w:bCs/>
          <w:lang w:eastAsia="en-US"/>
        </w:rPr>
      </w:pPr>
      <w:r>
        <w:rPr>
          <w:b/>
          <w:bCs/>
          <w:lang w:eastAsia="en-US"/>
        </w:rPr>
        <w:t>DECISION</w:t>
      </w:r>
    </w:p>
    <w:p w:rsidR="0062136B" w:rsidRDefault="0062136B" w:rsidP="0062136B">
      <w:pPr>
        <w:autoSpaceDE w:val="0"/>
        <w:autoSpaceDN w:val="0"/>
        <w:adjustRightInd w:val="0"/>
        <w:rPr>
          <w:bCs/>
          <w:lang w:eastAsia="en-US"/>
        </w:rPr>
      </w:pPr>
    </w:p>
    <w:p w:rsidR="0062136B" w:rsidRDefault="0062136B" w:rsidP="0062136B">
      <w:pPr>
        <w:autoSpaceDE w:val="0"/>
        <w:autoSpaceDN w:val="0"/>
        <w:adjustRightInd w:val="0"/>
        <w:rPr>
          <w:b/>
          <w:bCs/>
          <w:lang w:eastAsia="en-US"/>
        </w:rPr>
      </w:pPr>
      <w:r>
        <w:rPr>
          <w:b/>
          <w:bCs/>
          <w:lang w:eastAsia="en-US"/>
        </w:rPr>
        <w:t>Date of adoption: 06 December 2012</w:t>
      </w: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r>
        <w:rPr>
          <w:b/>
          <w:bCs/>
          <w:lang w:eastAsia="en-US"/>
        </w:rPr>
        <w:t>Case No. 191/09</w:t>
      </w: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roofErr w:type="spellStart"/>
      <w:r>
        <w:rPr>
          <w:b/>
          <w:bCs/>
          <w:lang w:eastAsia="en-US"/>
        </w:rPr>
        <w:t>Verica</w:t>
      </w:r>
      <w:proofErr w:type="spellEnd"/>
      <w:r>
        <w:rPr>
          <w:b/>
          <w:bCs/>
          <w:lang w:eastAsia="en-US"/>
        </w:rPr>
        <w:t xml:space="preserve"> TOMANOVIĆ</w:t>
      </w: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roofErr w:type="gramStart"/>
      <w:r>
        <w:rPr>
          <w:b/>
          <w:bCs/>
          <w:lang w:eastAsia="en-US"/>
        </w:rPr>
        <w:t>against</w:t>
      </w:r>
      <w:proofErr w:type="gramEnd"/>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r>
        <w:rPr>
          <w:b/>
          <w:bCs/>
          <w:lang w:eastAsia="en-US"/>
        </w:rPr>
        <w:t>UNMIK</w:t>
      </w:r>
    </w:p>
    <w:p w:rsidR="0062136B" w:rsidRDefault="0062136B" w:rsidP="0062136B">
      <w:pPr>
        <w:autoSpaceDE w:val="0"/>
        <w:autoSpaceDN w:val="0"/>
        <w:adjustRightInd w:val="0"/>
        <w:rPr>
          <w:bCs/>
          <w:lang w:eastAsia="en-US"/>
        </w:rPr>
      </w:pPr>
    </w:p>
    <w:p w:rsidR="0062136B" w:rsidRDefault="0062136B" w:rsidP="0062136B">
      <w:pPr>
        <w:autoSpaceDE w:val="0"/>
        <w:autoSpaceDN w:val="0"/>
        <w:adjustRightInd w:val="0"/>
        <w:rPr>
          <w:bCs/>
          <w:lang w:eastAsia="en-US"/>
        </w:rPr>
      </w:pPr>
    </w:p>
    <w:p w:rsidR="0062136B" w:rsidRDefault="0062136B" w:rsidP="0062136B">
      <w:pPr>
        <w:autoSpaceDE w:val="0"/>
        <w:autoSpaceDN w:val="0"/>
        <w:adjustRightInd w:val="0"/>
        <w:rPr>
          <w:lang w:eastAsia="en-US"/>
        </w:rPr>
      </w:pPr>
      <w:r>
        <w:rPr>
          <w:lang w:eastAsia="en-US"/>
        </w:rPr>
        <w:t>The Human Rights Advisory Panel, sitting on 6 December 2012,</w:t>
      </w:r>
    </w:p>
    <w:p w:rsidR="0062136B" w:rsidRDefault="0062136B" w:rsidP="0062136B">
      <w:pPr>
        <w:autoSpaceDE w:val="0"/>
        <w:autoSpaceDN w:val="0"/>
        <w:adjustRightInd w:val="0"/>
        <w:rPr>
          <w:lang w:eastAsia="en-US"/>
        </w:rPr>
      </w:pPr>
      <w:proofErr w:type="gramStart"/>
      <w:r>
        <w:rPr>
          <w:lang w:eastAsia="en-US"/>
        </w:rPr>
        <w:t>with</w:t>
      </w:r>
      <w:proofErr w:type="gramEnd"/>
      <w:r>
        <w:rPr>
          <w:lang w:eastAsia="en-US"/>
        </w:rPr>
        <w:t xml:space="preserve"> the following members present:</w:t>
      </w:r>
    </w:p>
    <w:p w:rsidR="0062136B" w:rsidRDefault="0062136B" w:rsidP="0062136B">
      <w:pPr>
        <w:autoSpaceDE w:val="0"/>
        <w:autoSpaceDN w:val="0"/>
        <w:adjustRightInd w:val="0"/>
        <w:rPr>
          <w:lang w:eastAsia="en-US"/>
        </w:rPr>
      </w:pPr>
    </w:p>
    <w:p w:rsidR="0062136B" w:rsidRDefault="0062136B" w:rsidP="0062136B">
      <w:pPr>
        <w:autoSpaceDE w:val="0"/>
        <w:autoSpaceDN w:val="0"/>
        <w:adjustRightInd w:val="0"/>
        <w:rPr>
          <w:lang w:eastAsia="en-US"/>
        </w:rPr>
      </w:pPr>
      <w:r>
        <w:rPr>
          <w:lang w:eastAsia="en-US"/>
        </w:rPr>
        <w:t xml:space="preserve">Mr </w:t>
      </w:r>
      <w:proofErr w:type="spellStart"/>
      <w:r>
        <w:rPr>
          <w:lang w:eastAsia="en-US"/>
        </w:rPr>
        <w:t>Marek</w:t>
      </w:r>
      <w:proofErr w:type="spellEnd"/>
      <w:r>
        <w:rPr>
          <w:lang w:eastAsia="en-US"/>
        </w:rPr>
        <w:t xml:space="preserve"> NOWICKI, Presiding Member</w:t>
      </w:r>
    </w:p>
    <w:p w:rsidR="0062136B" w:rsidRDefault="0062136B" w:rsidP="0062136B">
      <w:pPr>
        <w:autoSpaceDE w:val="0"/>
        <w:autoSpaceDN w:val="0"/>
        <w:adjustRightInd w:val="0"/>
        <w:rPr>
          <w:lang w:eastAsia="en-US"/>
        </w:rPr>
      </w:pPr>
      <w:r>
        <w:rPr>
          <w:lang w:eastAsia="en-US"/>
        </w:rPr>
        <w:t>Ms Christine CHINKIN</w:t>
      </w:r>
    </w:p>
    <w:p w:rsidR="0062136B" w:rsidRDefault="0062136B" w:rsidP="0062136B">
      <w:pPr>
        <w:autoSpaceDE w:val="0"/>
        <w:jc w:val="both"/>
      </w:pPr>
      <w:r>
        <w:t>Ms Françoise TULKENS</w:t>
      </w:r>
    </w:p>
    <w:p w:rsidR="0062136B" w:rsidRDefault="0062136B" w:rsidP="0062136B">
      <w:pPr>
        <w:autoSpaceDE w:val="0"/>
        <w:autoSpaceDN w:val="0"/>
        <w:adjustRightInd w:val="0"/>
        <w:rPr>
          <w:lang w:eastAsia="en-US"/>
        </w:rPr>
      </w:pPr>
    </w:p>
    <w:p w:rsidR="0062136B" w:rsidRDefault="0062136B" w:rsidP="0062136B">
      <w:pPr>
        <w:autoSpaceDE w:val="0"/>
        <w:autoSpaceDN w:val="0"/>
        <w:adjustRightInd w:val="0"/>
        <w:jc w:val="both"/>
        <w:rPr>
          <w:lang w:eastAsia="en-US"/>
        </w:rPr>
      </w:pPr>
      <w:r>
        <w:rPr>
          <w:lang w:eastAsia="en-US"/>
        </w:rPr>
        <w:t xml:space="preserve">Mr </w:t>
      </w:r>
      <w:proofErr w:type="spellStart"/>
      <w:r>
        <w:rPr>
          <w:lang w:eastAsia="en-US"/>
        </w:rPr>
        <w:t>Andrey</w:t>
      </w:r>
      <w:proofErr w:type="spellEnd"/>
      <w:r>
        <w:rPr>
          <w:lang w:eastAsia="en-US"/>
        </w:rPr>
        <w:t xml:space="preserve"> ANTONOV, Executive Officer</w:t>
      </w:r>
    </w:p>
    <w:p w:rsidR="0062136B" w:rsidRDefault="0062136B" w:rsidP="0062136B">
      <w:pPr>
        <w:autoSpaceDE w:val="0"/>
        <w:autoSpaceDN w:val="0"/>
        <w:adjustRightInd w:val="0"/>
        <w:jc w:val="both"/>
        <w:rPr>
          <w:lang w:eastAsia="en-US"/>
        </w:rPr>
      </w:pPr>
    </w:p>
    <w:p w:rsidR="0062136B" w:rsidRDefault="0062136B" w:rsidP="0062136B">
      <w:pPr>
        <w:autoSpaceDE w:val="0"/>
        <w:autoSpaceDN w:val="0"/>
        <w:adjustRightInd w:val="0"/>
        <w:jc w:val="both"/>
        <w:rPr>
          <w:lang w:eastAsia="en-US"/>
        </w:rPr>
      </w:pPr>
      <w:r>
        <w:rPr>
          <w:lang w:eastAsia="en-US"/>
        </w:rPr>
        <w:t>Having considered the aforementioned complaint, introduced pursuant to Section 1.2 of UNMIK Regulation No. 2006/12 of 23 March 2006 on the establishment of the Human Rights Advisory Panel,</w:t>
      </w:r>
    </w:p>
    <w:p w:rsidR="0062136B" w:rsidRDefault="0062136B" w:rsidP="0062136B">
      <w:pPr>
        <w:autoSpaceDE w:val="0"/>
        <w:autoSpaceDN w:val="0"/>
        <w:adjustRightInd w:val="0"/>
        <w:jc w:val="both"/>
        <w:rPr>
          <w:lang w:eastAsia="en-US"/>
        </w:rPr>
      </w:pPr>
    </w:p>
    <w:p w:rsidR="0062136B" w:rsidRDefault="0062136B" w:rsidP="0062136B">
      <w:pPr>
        <w:autoSpaceDE w:val="0"/>
        <w:autoSpaceDN w:val="0"/>
        <w:adjustRightInd w:val="0"/>
        <w:jc w:val="both"/>
        <w:rPr>
          <w:lang w:eastAsia="en-US"/>
        </w:rPr>
      </w:pPr>
      <w:r>
        <w:rPr>
          <w:lang w:eastAsia="en-US"/>
        </w:rPr>
        <w:t>Having deliberated, decides as follows:</w:t>
      </w:r>
    </w:p>
    <w:p w:rsidR="0062136B" w:rsidRDefault="0062136B" w:rsidP="0062136B">
      <w:pPr>
        <w:autoSpaceDE w:val="0"/>
        <w:jc w:val="both"/>
        <w:rPr>
          <w:b/>
          <w:bCs/>
        </w:rPr>
      </w:pPr>
    </w:p>
    <w:p w:rsidR="0062136B" w:rsidRDefault="0062136B" w:rsidP="0062136B">
      <w:pPr>
        <w:autoSpaceDE w:val="0"/>
        <w:jc w:val="both"/>
        <w:rPr>
          <w:b/>
          <w:bCs/>
        </w:rPr>
      </w:pPr>
    </w:p>
    <w:p w:rsidR="0062136B" w:rsidRDefault="0062136B" w:rsidP="0062136B">
      <w:pPr>
        <w:autoSpaceDE w:val="0"/>
        <w:jc w:val="both"/>
        <w:rPr>
          <w:b/>
          <w:bCs/>
        </w:rPr>
      </w:pPr>
      <w:r>
        <w:rPr>
          <w:b/>
          <w:bCs/>
        </w:rPr>
        <w:t>I. PROCEEDINGS BEFORE THE PANEL</w:t>
      </w:r>
    </w:p>
    <w:p w:rsidR="0062136B" w:rsidRDefault="0062136B" w:rsidP="0062136B">
      <w:pPr>
        <w:autoSpaceDE w:val="0"/>
        <w:jc w:val="both"/>
      </w:pPr>
      <w:r>
        <w:tab/>
      </w:r>
    </w:p>
    <w:p w:rsidR="0062136B" w:rsidRDefault="0062136B" w:rsidP="0062136B">
      <w:pPr>
        <w:numPr>
          <w:ilvl w:val="0"/>
          <w:numId w:val="1"/>
        </w:numPr>
        <w:autoSpaceDE w:val="0"/>
        <w:jc w:val="both"/>
        <w:rPr>
          <w:bCs/>
        </w:rPr>
      </w:pPr>
      <w:r>
        <w:t>The complaint was introduced on 12 April 2009 and registered on 30 April 2009.</w:t>
      </w:r>
    </w:p>
    <w:p w:rsidR="0062136B" w:rsidRDefault="0062136B" w:rsidP="0062136B">
      <w:pPr>
        <w:autoSpaceDE w:val="0"/>
        <w:ind w:left="360"/>
        <w:jc w:val="both"/>
        <w:rPr>
          <w:bCs/>
        </w:rPr>
      </w:pPr>
    </w:p>
    <w:p w:rsidR="0062136B" w:rsidRDefault="0062136B" w:rsidP="0062136B">
      <w:pPr>
        <w:numPr>
          <w:ilvl w:val="0"/>
          <w:numId w:val="1"/>
        </w:numPr>
        <w:suppressAutoHyphens/>
        <w:autoSpaceDE w:val="0"/>
        <w:jc w:val="both"/>
        <w:rPr>
          <w:bCs/>
        </w:rPr>
      </w:pPr>
      <w:r>
        <w:t>On 23 December 2009, the Panel requested further information from the c</w:t>
      </w:r>
      <w:r>
        <w:rPr>
          <w:bCs/>
        </w:rPr>
        <w:t>omplainant</w:t>
      </w:r>
      <w:r>
        <w:t>. No response was received.</w:t>
      </w:r>
    </w:p>
    <w:p w:rsidR="0062136B" w:rsidRDefault="0062136B" w:rsidP="0062136B">
      <w:pPr>
        <w:pStyle w:val="ListParagraph"/>
        <w:rPr>
          <w:bCs/>
        </w:rPr>
      </w:pPr>
    </w:p>
    <w:p w:rsidR="0062136B" w:rsidRDefault="0062136B" w:rsidP="0062136B">
      <w:pPr>
        <w:numPr>
          <w:ilvl w:val="0"/>
          <w:numId w:val="1"/>
        </w:numPr>
        <w:suppressAutoHyphens/>
        <w:autoSpaceDE w:val="0"/>
        <w:jc w:val="both"/>
        <w:rPr>
          <w:bCs/>
        </w:rPr>
      </w:pPr>
      <w:r>
        <w:rPr>
          <w:bCs/>
        </w:rPr>
        <w:t>On 30 September 2011, the Panel requested additional information from the Court Liaison Office (CLO), Kosovo Ministry of Justice. The CLO responded on 30 November 2011.</w:t>
      </w:r>
    </w:p>
    <w:p w:rsidR="0062136B" w:rsidRDefault="0062136B" w:rsidP="0062136B">
      <w:pPr>
        <w:pStyle w:val="ListParagraph"/>
        <w:rPr>
          <w:bCs/>
        </w:rPr>
      </w:pPr>
    </w:p>
    <w:p w:rsidR="0062136B" w:rsidRDefault="0062136B" w:rsidP="0062136B">
      <w:pPr>
        <w:numPr>
          <w:ilvl w:val="0"/>
          <w:numId w:val="1"/>
        </w:numPr>
        <w:suppressAutoHyphens/>
        <w:autoSpaceDE w:val="0"/>
        <w:jc w:val="both"/>
        <w:rPr>
          <w:bCs/>
          <w:color w:val="FF0000"/>
        </w:rPr>
      </w:pPr>
      <w:r>
        <w:rPr>
          <w:bCs/>
        </w:rPr>
        <w:t xml:space="preserve">On 7 November 2012, the Panel requested information from the Kosovo Property Agency (KPA). The KPA responded on 12 November 2012. </w:t>
      </w:r>
    </w:p>
    <w:p w:rsidR="0062136B" w:rsidRDefault="0062136B" w:rsidP="0062136B">
      <w:pPr>
        <w:pStyle w:val="ListParagraph"/>
        <w:rPr>
          <w:bCs/>
          <w:color w:val="FF0000"/>
        </w:rPr>
      </w:pPr>
    </w:p>
    <w:p w:rsidR="0062136B" w:rsidRDefault="0062136B" w:rsidP="0062136B">
      <w:pPr>
        <w:numPr>
          <w:ilvl w:val="0"/>
          <w:numId w:val="1"/>
        </w:numPr>
        <w:suppressAutoHyphens/>
        <w:autoSpaceDE w:val="0"/>
        <w:jc w:val="both"/>
        <w:rPr>
          <w:bCs/>
          <w:color w:val="FF0000"/>
        </w:rPr>
      </w:pPr>
      <w:r>
        <w:rPr>
          <w:bCs/>
        </w:rPr>
        <w:lastRenderedPageBreak/>
        <w:t>On 13 November 2012, Panel requested and obtained additional information from the complainant.</w:t>
      </w:r>
    </w:p>
    <w:p w:rsidR="0062136B" w:rsidRDefault="0062136B" w:rsidP="0062136B">
      <w:pPr>
        <w:pStyle w:val="ListParagraph"/>
        <w:rPr>
          <w:bCs/>
        </w:rPr>
      </w:pPr>
    </w:p>
    <w:p w:rsidR="0062136B" w:rsidRDefault="0062136B" w:rsidP="0062136B">
      <w:pPr>
        <w:autoSpaceDE w:val="0"/>
        <w:autoSpaceDN w:val="0"/>
        <w:adjustRightInd w:val="0"/>
        <w:jc w:val="both"/>
        <w:rPr>
          <w:b/>
          <w:bCs/>
          <w:lang w:eastAsia="en-US"/>
        </w:rPr>
      </w:pPr>
      <w:r>
        <w:rPr>
          <w:b/>
          <w:bCs/>
          <w:lang w:eastAsia="en-US"/>
        </w:rPr>
        <w:t>II. THE FACTS</w:t>
      </w:r>
    </w:p>
    <w:p w:rsidR="0062136B" w:rsidRDefault="0062136B" w:rsidP="0062136B">
      <w:pPr>
        <w:autoSpaceDE w:val="0"/>
        <w:autoSpaceDN w:val="0"/>
        <w:adjustRightInd w:val="0"/>
        <w:jc w:val="both"/>
        <w:rPr>
          <w:lang w:eastAsia="en-US"/>
        </w:rPr>
      </w:pPr>
    </w:p>
    <w:p w:rsidR="0062136B" w:rsidRDefault="0062136B" w:rsidP="0062136B">
      <w:pPr>
        <w:pStyle w:val="ListParagraph"/>
        <w:numPr>
          <w:ilvl w:val="0"/>
          <w:numId w:val="1"/>
        </w:numPr>
        <w:autoSpaceDE w:val="0"/>
        <w:autoSpaceDN w:val="0"/>
        <w:adjustRightInd w:val="0"/>
        <w:jc w:val="both"/>
      </w:pPr>
      <w:r>
        <w:t>The complainant is a former resident of Kosovo, currently residing in Serbia proper</w:t>
      </w:r>
      <w:r>
        <w:rPr>
          <w:rFonts w:ascii="Arial" w:hAnsi="Arial" w:cs="Arial"/>
          <w:sz w:val="21"/>
          <w:szCs w:val="21"/>
        </w:rPr>
        <w:t>.</w:t>
      </w:r>
      <w:r>
        <w:rPr>
          <w:color w:val="0000CC"/>
        </w:rPr>
        <w:t xml:space="preserve"> </w:t>
      </w:r>
    </w:p>
    <w:p w:rsidR="0062136B" w:rsidRDefault="0062136B" w:rsidP="0062136B">
      <w:pPr>
        <w:pStyle w:val="ListParagraph"/>
        <w:autoSpaceDE w:val="0"/>
        <w:autoSpaceDN w:val="0"/>
        <w:adjustRightInd w:val="0"/>
        <w:ind w:left="360"/>
        <w:jc w:val="both"/>
      </w:pPr>
    </w:p>
    <w:p w:rsidR="0062136B" w:rsidRDefault="0062136B" w:rsidP="0062136B">
      <w:pPr>
        <w:pStyle w:val="ListParagraph"/>
        <w:numPr>
          <w:ilvl w:val="0"/>
          <w:numId w:val="1"/>
        </w:numPr>
        <w:autoSpaceDE w:val="0"/>
        <w:autoSpaceDN w:val="0"/>
        <w:adjustRightInd w:val="0"/>
        <w:jc w:val="both"/>
      </w:pPr>
      <w:r>
        <w:rPr>
          <w:color w:val="000000"/>
        </w:rPr>
        <w:t>The complainant states that s</w:t>
      </w:r>
      <w:r>
        <w:t xml:space="preserve">he is the owner of part of a house located in </w:t>
      </w:r>
      <w:proofErr w:type="spellStart"/>
      <w:r>
        <w:t>Prishtinë</w:t>
      </w:r>
      <w:proofErr w:type="spellEnd"/>
      <w:r>
        <w:t>/</w:t>
      </w:r>
      <w:proofErr w:type="spellStart"/>
      <w:r>
        <w:t>Priština</w:t>
      </w:r>
      <w:proofErr w:type="spellEnd"/>
      <w:r>
        <w:t xml:space="preserve">. The complainant retained use of the property until 17 June 1999 when following the abduction of her husband and the deterioration in security she moved to Serbia proper. </w:t>
      </w:r>
    </w:p>
    <w:p w:rsidR="0062136B" w:rsidRDefault="0062136B" w:rsidP="0062136B">
      <w:pPr>
        <w:pStyle w:val="ListParagraph"/>
        <w:autoSpaceDE w:val="0"/>
        <w:autoSpaceDN w:val="0"/>
        <w:adjustRightInd w:val="0"/>
        <w:ind w:left="360"/>
        <w:jc w:val="both"/>
      </w:pPr>
    </w:p>
    <w:p w:rsidR="0062136B" w:rsidRDefault="0062136B" w:rsidP="0062136B">
      <w:pPr>
        <w:pStyle w:val="ListParagraph"/>
        <w:numPr>
          <w:ilvl w:val="0"/>
          <w:numId w:val="1"/>
        </w:numPr>
        <w:autoSpaceDE w:val="0"/>
        <w:autoSpaceDN w:val="0"/>
        <w:adjustRightInd w:val="0"/>
        <w:jc w:val="both"/>
      </w:pPr>
      <w:r>
        <w:t xml:space="preserve">The complainant was subsequently notified that her part of the house was being occupied by another person. As a consequence </w:t>
      </w:r>
      <w:r>
        <w:rPr>
          <w:lang w:eastAsia="en-US"/>
        </w:rPr>
        <w:t>the complainant filed a claim with the Housing and Property Claims Commission (HPCC) of the Housing and Property Directorate (HPD) for the repossession of her part of the property on</w:t>
      </w:r>
      <w:r>
        <w:t xml:space="preserve"> 21 December 2001.</w:t>
      </w:r>
    </w:p>
    <w:p w:rsidR="0062136B" w:rsidRDefault="0062136B" w:rsidP="0062136B">
      <w:pPr>
        <w:pStyle w:val="ListParagraph"/>
      </w:pPr>
    </w:p>
    <w:p w:rsidR="0062136B" w:rsidRDefault="0062136B" w:rsidP="0062136B">
      <w:pPr>
        <w:pStyle w:val="ListParagraph"/>
        <w:numPr>
          <w:ilvl w:val="0"/>
          <w:numId w:val="1"/>
        </w:numPr>
        <w:autoSpaceDE w:val="0"/>
        <w:autoSpaceDN w:val="0"/>
        <w:adjustRightInd w:val="0"/>
        <w:jc w:val="both"/>
      </w:pPr>
      <w:r>
        <w:t xml:space="preserve">On 30 April 2005, </w:t>
      </w:r>
      <w:r>
        <w:rPr>
          <w:lang w:eastAsia="en-US"/>
        </w:rPr>
        <w:t>the complainant’s request for repossession was granted. Subsequently</w:t>
      </w:r>
      <w:proofErr w:type="gramStart"/>
      <w:r>
        <w:rPr>
          <w:lang w:eastAsia="en-US"/>
        </w:rPr>
        <w:t>,  and</w:t>
      </w:r>
      <w:proofErr w:type="gramEnd"/>
      <w:r>
        <w:rPr>
          <w:lang w:eastAsia="en-US"/>
        </w:rPr>
        <w:t xml:space="preserve"> an eviction order was delivered by the HPD to the occupant to vacate the house within 90 days</w:t>
      </w:r>
      <w:r>
        <w:t>.</w:t>
      </w:r>
    </w:p>
    <w:p w:rsidR="0062136B" w:rsidRDefault="0062136B" w:rsidP="0062136B">
      <w:pPr>
        <w:pStyle w:val="ListParagraph"/>
        <w:rPr>
          <w:lang w:eastAsia="en-US"/>
        </w:rPr>
      </w:pPr>
    </w:p>
    <w:p w:rsidR="0062136B" w:rsidRDefault="0062136B" w:rsidP="0062136B">
      <w:pPr>
        <w:pStyle w:val="ListParagraph"/>
        <w:numPr>
          <w:ilvl w:val="0"/>
          <w:numId w:val="1"/>
        </w:numPr>
        <w:autoSpaceDE w:val="0"/>
        <w:autoSpaceDN w:val="0"/>
        <w:adjustRightInd w:val="0"/>
        <w:jc w:val="both"/>
      </w:pPr>
      <w:r>
        <w:rPr>
          <w:lang w:eastAsia="en-US"/>
        </w:rPr>
        <w:t>As the occupant did not voluntarily vacate the part of the house owned by the complainant, the KPA the successor in interest to the HPD carried out an eviction on 25 August 2005</w:t>
      </w:r>
      <w:r>
        <w:rPr>
          <w:color w:val="FF0000"/>
        </w:rPr>
        <w:t xml:space="preserve">. </w:t>
      </w:r>
      <w:r>
        <w:rPr>
          <w:lang w:eastAsia="en-US"/>
        </w:rPr>
        <w:t>According to the KPA on 7 September 2005 the keys to the house</w:t>
      </w:r>
      <w:r>
        <w:rPr>
          <w:color w:val="FF0000"/>
          <w:lang w:eastAsia="en-US"/>
        </w:rPr>
        <w:t xml:space="preserve"> </w:t>
      </w:r>
      <w:r>
        <w:rPr>
          <w:lang w:eastAsia="en-US"/>
        </w:rPr>
        <w:t xml:space="preserve">were handed over to Mr </w:t>
      </w:r>
      <w:proofErr w:type="spellStart"/>
      <w:r>
        <w:rPr>
          <w:lang w:eastAsia="en-US"/>
        </w:rPr>
        <w:t>Živojin</w:t>
      </w:r>
      <w:proofErr w:type="spellEnd"/>
      <w:r>
        <w:rPr>
          <w:lang w:eastAsia="en-US"/>
        </w:rPr>
        <w:t xml:space="preserve"> </w:t>
      </w:r>
      <w:proofErr w:type="spellStart"/>
      <w:r>
        <w:rPr>
          <w:lang w:eastAsia="en-US"/>
        </w:rPr>
        <w:t>Jokanović</w:t>
      </w:r>
      <w:proofErr w:type="spellEnd"/>
      <w:r>
        <w:rPr>
          <w:lang w:eastAsia="en-US"/>
        </w:rPr>
        <w:t xml:space="preserve">, the authorised representative of the complainant. </w:t>
      </w:r>
    </w:p>
    <w:p w:rsidR="0062136B" w:rsidRDefault="0062136B" w:rsidP="0062136B">
      <w:pPr>
        <w:pStyle w:val="ListParagraph"/>
      </w:pPr>
    </w:p>
    <w:p w:rsidR="0062136B" w:rsidRDefault="0062136B" w:rsidP="0062136B">
      <w:pPr>
        <w:pStyle w:val="ListParagraph"/>
        <w:numPr>
          <w:ilvl w:val="0"/>
          <w:numId w:val="1"/>
        </w:numPr>
        <w:autoSpaceDE w:val="0"/>
        <w:autoSpaceDN w:val="0"/>
        <w:adjustRightInd w:val="0"/>
        <w:jc w:val="both"/>
      </w:pPr>
      <w:r>
        <w:t>The complainant subsequently became aware of the fact that her part of the house</w:t>
      </w:r>
      <w:r>
        <w:rPr>
          <w:color w:val="FF0000"/>
        </w:rPr>
        <w:t xml:space="preserve"> </w:t>
      </w:r>
      <w:r>
        <w:t xml:space="preserve">was again unlawfully occupied.  </w:t>
      </w:r>
    </w:p>
    <w:p w:rsidR="0062136B" w:rsidRDefault="0062136B" w:rsidP="0062136B">
      <w:pPr>
        <w:pStyle w:val="ListParagraph"/>
        <w:rPr>
          <w:lang w:eastAsia="en-US"/>
        </w:rPr>
      </w:pPr>
    </w:p>
    <w:p w:rsidR="0062136B" w:rsidRDefault="0062136B" w:rsidP="0062136B">
      <w:pPr>
        <w:pStyle w:val="ListParagraph"/>
        <w:numPr>
          <w:ilvl w:val="0"/>
          <w:numId w:val="1"/>
        </w:numPr>
        <w:autoSpaceDE w:val="0"/>
        <w:autoSpaceDN w:val="0"/>
        <w:adjustRightInd w:val="0"/>
        <w:jc w:val="both"/>
      </w:pPr>
      <w:r>
        <w:rPr>
          <w:lang w:eastAsia="en-US"/>
        </w:rPr>
        <w:t>However, on 13 November 2012 the complainant informed the Panel that she had sold her part of the house to</w:t>
      </w:r>
      <w:r>
        <w:rPr>
          <w:color w:val="FF0000"/>
          <w:lang w:eastAsia="en-US"/>
        </w:rPr>
        <w:t xml:space="preserve"> </w:t>
      </w:r>
      <w:r>
        <w:rPr>
          <w:lang w:eastAsia="en-US"/>
        </w:rPr>
        <w:t>the unlawful occupier</w:t>
      </w:r>
      <w:r>
        <w:rPr>
          <w:color w:val="FF0000"/>
          <w:lang w:eastAsia="en-US"/>
        </w:rPr>
        <w:t xml:space="preserve"> </w:t>
      </w:r>
      <w:r>
        <w:rPr>
          <w:lang w:eastAsia="en-US"/>
        </w:rPr>
        <w:t>around April/May 2010</w:t>
      </w:r>
      <w:r>
        <w:rPr>
          <w:color w:val="FF0000"/>
          <w:lang w:eastAsia="en-US"/>
        </w:rPr>
        <w:t xml:space="preserve"> </w:t>
      </w:r>
      <w:r>
        <w:rPr>
          <w:lang w:eastAsia="en-US"/>
        </w:rPr>
        <w:t xml:space="preserve">and consequently the problem relating to the unlawful usurpation of the property had resolved itself.   </w:t>
      </w:r>
    </w:p>
    <w:p w:rsidR="0062136B" w:rsidRDefault="0062136B" w:rsidP="0062136B">
      <w:pPr>
        <w:pStyle w:val="ListParagraph"/>
        <w:rPr>
          <w:color w:val="FF0000"/>
          <w:lang w:eastAsia="en-US"/>
        </w:rPr>
      </w:pPr>
    </w:p>
    <w:p w:rsidR="0062136B" w:rsidRDefault="0062136B" w:rsidP="0062136B">
      <w:pPr>
        <w:pStyle w:val="ListParagraph"/>
        <w:numPr>
          <w:ilvl w:val="0"/>
          <w:numId w:val="1"/>
        </w:numPr>
        <w:autoSpaceDE w:val="0"/>
        <w:autoSpaceDN w:val="0"/>
        <w:adjustRightInd w:val="0"/>
        <w:jc w:val="both"/>
      </w:pPr>
      <w:r>
        <w:rPr>
          <w:lang w:eastAsia="en-US"/>
        </w:rPr>
        <w:t>The complainant maintains, however, that she has not received any rental payment relating to the unlawful occupation of the house for the period June 1999 to around April/May</w:t>
      </w:r>
      <w:r>
        <w:rPr>
          <w:color w:val="FF0000"/>
          <w:lang w:eastAsia="en-US"/>
        </w:rPr>
        <w:t xml:space="preserve"> </w:t>
      </w:r>
      <w:r>
        <w:rPr>
          <w:lang w:eastAsia="en-US"/>
        </w:rPr>
        <w:t xml:space="preserve">2010. </w:t>
      </w:r>
    </w:p>
    <w:p w:rsidR="0062136B" w:rsidRDefault="0062136B" w:rsidP="0062136B">
      <w:pPr>
        <w:pStyle w:val="ListParagraph"/>
        <w:autoSpaceDE w:val="0"/>
        <w:autoSpaceDN w:val="0"/>
        <w:adjustRightInd w:val="0"/>
        <w:ind w:left="360"/>
        <w:jc w:val="both"/>
        <w:rPr>
          <w:b/>
          <w:bCs/>
          <w:lang w:eastAsia="en-US"/>
        </w:rPr>
      </w:pPr>
    </w:p>
    <w:p w:rsidR="0062136B" w:rsidRDefault="0062136B" w:rsidP="0062136B">
      <w:pPr>
        <w:pStyle w:val="ListParagraph"/>
        <w:autoSpaceDE w:val="0"/>
        <w:autoSpaceDN w:val="0"/>
        <w:adjustRightInd w:val="0"/>
        <w:ind w:left="360"/>
        <w:jc w:val="both"/>
        <w:rPr>
          <w:b/>
          <w:bCs/>
          <w:lang w:eastAsia="en-US"/>
        </w:rPr>
      </w:pPr>
    </w:p>
    <w:p w:rsidR="0062136B" w:rsidRDefault="0062136B" w:rsidP="0062136B">
      <w:pPr>
        <w:autoSpaceDE w:val="0"/>
        <w:autoSpaceDN w:val="0"/>
        <w:adjustRightInd w:val="0"/>
        <w:jc w:val="both"/>
        <w:rPr>
          <w:b/>
          <w:bCs/>
          <w:lang w:eastAsia="en-US"/>
        </w:rPr>
      </w:pPr>
      <w:r>
        <w:rPr>
          <w:b/>
          <w:bCs/>
          <w:lang w:eastAsia="en-US"/>
        </w:rPr>
        <w:t>III. THE COMPLAINT</w:t>
      </w:r>
    </w:p>
    <w:p w:rsidR="0062136B" w:rsidRDefault="0062136B" w:rsidP="0062136B">
      <w:pPr>
        <w:pStyle w:val="ListParagraph"/>
        <w:rPr>
          <w:lang w:eastAsia="en-US"/>
        </w:rPr>
      </w:pPr>
    </w:p>
    <w:p w:rsidR="0062136B" w:rsidRDefault="0062136B" w:rsidP="0062136B">
      <w:pPr>
        <w:numPr>
          <w:ilvl w:val="0"/>
          <w:numId w:val="1"/>
        </w:numPr>
        <w:autoSpaceDE w:val="0"/>
        <w:autoSpaceDN w:val="0"/>
        <w:adjustRightInd w:val="0"/>
        <w:jc w:val="both"/>
        <w:rPr>
          <w:bCs/>
          <w:lang w:val="en-US" w:eastAsia="en-US"/>
        </w:rPr>
      </w:pPr>
      <w:r>
        <w:rPr>
          <w:lang w:val="en-US" w:eastAsia="en-US"/>
        </w:rPr>
        <w:t>According to the complainant, failure by the HPD/KPA to implement the decision of the HPCC had prevented her from repossessing her part of her house on the second occasion and so constituted a violation of her right to peaceful enjoyment of possessions under Article 1 of Protocol No. 1 to the European Convention on Human Rights (ECHR).</w:t>
      </w:r>
    </w:p>
    <w:p w:rsidR="0062136B" w:rsidRDefault="0062136B" w:rsidP="0062136B">
      <w:pPr>
        <w:autoSpaceDE w:val="0"/>
        <w:autoSpaceDN w:val="0"/>
        <w:adjustRightInd w:val="0"/>
        <w:ind w:left="360"/>
        <w:jc w:val="both"/>
        <w:rPr>
          <w:bCs/>
          <w:lang w:val="en-US" w:eastAsia="en-US"/>
        </w:rPr>
      </w:pPr>
    </w:p>
    <w:p w:rsidR="0062136B" w:rsidRDefault="0062136B" w:rsidP="0062136B">
      <w:pPr>
        <w:pStyle w:val="ListParagraph"/>
        <w:numPr>
          <w:ilvl w:val="0"/>
          <w:numId w:val="1"/>
        </w:numPr>
        <w:autoSpaceDE w:val="0"/>
        <w:autoSpaceDN w:val="0"/>
        <w:adjustRightInd w:val="0"/>
        <w:jc w:val="both"/>
      </w:pPr>
      <w:r>
        <w:rPr>
          <w:lang w:eastAsia="en-US"/>
        </w:rPr>
        <w:t>The complainant also claims that she has not received any rental income during the time her part of the property was unlawfully occupied between June 1999 and April/May</w:t>
      </w:r>
      <w:r>
        <w:rPr>
          <w:color w:val="FF0000"/>
          <w:lang w:eastAsia="en-US"/>
        </w:rPr>
        <w:t xml:space="preserve"> </w:t>
      </w:r>
      <w:r>
        <w:rPr>
          <w:lang w:eastAsia="en-US"/>
        </w:rPr>
        <w:t>2010. She claims that, as a result, her right to protection of property under Article 1 of Protocol No. 1 to the European Convention on Human Rights has been violated.</w:t>
      </w:r>
    </w:p>
    <w:p w:rsidR="0062136B" w:rsidRDefault="0062136B" w:rsidP="0062136B">
      <w:pPr>
        <w:pStyle w:val="ListParagraph"/>
        <w:autoSpaceDE w:val="0"/>
        <w:autoSpaceDN w:val="0"/>
        <w:adjustRightInd w:val="0"/>
        <w:ind w:left="0"/>
        <w:jc w:val="both"/>
      </w:pPr>
    </w:p>
    <w:p w:rsidR="0062136B" w:rsidRDefault="0062136B" w:rsidP="0062136B">
      <w:pPr>
        <w:pStyle w:val="ListParagraph"/>
        <w:autoSpaceDE w:val="0"/>
        <w:autoSpaceDN w:val="0"/>
        <w:adjustRightInd w:val="0"/>
        <w:ind w:left="0"/>
        <w:jc w:val="both"/>
      </w:pPr>
    </w:p>
    <w:p w:rsidR="0062136B" w:rsidRDefault="0062136B" w:rsidP="0062136B">
      <w:pPr>
        <w:pStyle w:val="ListParagraph"/>
        <w:autoSpaceDE w:val="0"/>
        <w:autoSpaceDN w:val="0"/>
        <w:adjustRightInd w:val="0"/>
        <w:ind w:left="0"/>
        <w:jc w:val="both"/>
      </w:pPr>
    </w:p>
    <w:p w:rsidR="0062136B" w:rsidRDefault="0062136B" w:rsidP="0062136B">
      <w:pPr>
        <w:pStyle w:val="ListParagraph"/>
        <w:autoSpaceDE w:val="0"/>
        <w:autoSpaceDN w:val="0"/>
        <w:adjustRightInd w:val="0"/>
        <w:ind w:left="0"/>
        <w:jc w:val="both"/>
      </w:pPr>
    </w:p>
    <w:p w:rsidR="0062136B" w:rsidRDefault="0062136B" w:rsidP="0062136B">
      <w:pPr>
        <w:autoSpaceDE w:val="0"/>
        <w:autoSpaceDN w:val="0"/>
        <w:adjustRightInd w:val="0"/>
        <w:jc w:val="both"/>
        <w:rPr>
          <w:bCs/>
          <w:lang w:eastAsia="en-US"/>
        </w:rPr>
      </w:pPr>
    </w:p>
    <w:p w:rsidR="0062136B" w:rsidRDefault="0062136B" w:rsidP="0062136B">
      <w:pPr>
        <w:autoSpaceDE w:val="0"/>
        <w:autoSpaceDN w:val="0"/>
        <w:adjustRightInd w:val="0"/>
        <w:jc w:val="both"/>
        <w:rPr>
          <w:b/>
          <w:bCs/>
          <w:lang w:eastAsia="en-US"/>
        </w:rPr>
      </w:pPr>
      <w:r>
        <w:rPr>
          <w:b/>
          <w:bCs/>
          <w:lang w:eastAsia="en-US"/>
        </w:rPr>
        <w:lastRenderedPageBreak/>
        <w:t>IV. THE LAW</w:t>
      </w:r>
    </w:p>
    <w:p w:rsidR="0062136B" w:rsidRDefault="0062136B" w:rsidP="0062136B">
      <w:pPr>
        <w:pStyle w:val="ListParagraph"/>
        <w:autoSpaceDE w:val="0"/>
        <w:autoSpaceDN w:val="0"/>
        <w:adjustRightInd w:val="0"/>
        <w:ind w:left="360"/>
        <w:jc w:val="both"/>
      </w:pPr>
    </w:p>
    <w:p w:rsidR="0062136B" w:rsidRDefault="0062136B" w:rsidP="0062136B">
      <w:pPr>
        <w:numPr>
          <w:ilvl w:val="0"/>
          <w:numId w:val="1"/>
        </w:numPr>
        <w:autoSpaceDE w:val="0"/>
        <w:autoSpaceDN w:val="0"/>
        <w:adjustRightInd w:val="0"/>
        <w:jc w:val="both"/>
      </w:pPr>
      <w:r>
        <w:rPr>
          <w:bCs/>
          <w:lang w:eastAsia="en-US"/>
        </w:rPr>
        <w:t xml:space="preserve">From the most recent information from the complainant, the Panel understands that unlawful occupation of her part of the house has now resolved itself through the subsequent sale of her share of the property. </w:t>
      </w:r>
    </w:p>
    <w:p w:rsidR="0062136B" w:rsidRDefault="0062136B" w:rsidP="0062136B">
      <w:pPr>
        <w:numPr>
          <w:ilvl w:val="0"/>
          <w:numId w:val="1"/>
        </w:numPr>
        <w:autoSpaceDE w:val="0"/>
        <w:autoSpaceDN w:val="0"/>
        <w:adjustRightInd w:val="0"/>
        <w:jc w:val="both"/>
      </w:pPr>
      <w:r>
        <w:t>In these circumstances, and in accordance with Rule 29 of the Panel’s Rules and Procedure, it is appropriate to strike out this part of the complaint in so far as it relates to the unlawful usurpation of the house.</w:t>
      </w:r>
    </w:p>
    <w:p w:rsidR="0062136B" w:rsidRDefault="0062136B" w:rsidP="0062136B">
      <w:pPr>
        <w:autoSpaceDE w:val="0"/>
        <w:autoSpaceDN w:val="0"/>
        <w:adjustRightInd w:val="0"/>
        <w:ind w:left="360"/>
        <w:jc w:val="both"/>
      </w:pPr>
    </w:p>
    <w:p w:rsidR="0062136B" w:rsidRDefault="0062136B" w:rsidP="0062136B">
      <w:pPr>
        <w:numPr>
          <w:ilvl w:val="0"/>
          <w:numId w:val="1"/>
        </w:numPr>
        <w:autoSpaceDE w:val="0"/>
        <w:autoSpaceDN w:val="0"/>
        <w:adjustRightInd w:val="0"/>
        <w:jc w:val="both"/>
      </w:pPr>
      <w:r>
        <w:rPr>
          <w:lang w:eastAsia="en-US"/>
        </w:rPr>
        <w:t xml:space="preserve">Before considering the remainder of case on its merits the Panel has to decide whether to accept the case, taking into account the admissibility criteria set out in Sections 1, 2 and 3 of UNMIK Regulation No. 2006/12. </w:t>
      </w:r>
    </w:p>
    <w:p w:rsidR="0062136B" w:rsidRDefault="0062136B" w:rsidP="0062136B">
      <w:pPr>
        <w:pStyle w:val="ListParagraph"/>
        <w:rPr>
          <w:color w:val="FF0000"/>
          <w:lang w:val="en-US"/>
        </w:rPr>
      </w:pPr>
    </w:p>
    <w:p w:rsidR="0062136B" w:rsidRDefault="0062136B" w:rsidP="0062136B">
      <w:pPr>
        <w:numPr>
          <w:ilvl w:val="0"/>
          <w:numId w:val="1"/>
        </w:numPr>
        <w:autoSpaceDE w:val="0"/>
        <w:autoSpaceDN w:val="0"/>
        <w:adjustRightInd w:val="0"/>
        <w:jc w:val="both"/>
      </w:pPr>
      <w:r>
        <w:rPr>
          <w:lang w:val="en-US"/>
        </w:rPr>
        <w:t xml:space="preserve">The complainant complains about the violation of her right to property as a result of the non-payment of rent with respect to her part of the house during the period within which it had been unlawfully occupied. </w:t>
      </w:r>
    </w:p>
    <w:p w:rsidR="0062136B" w:rsidRDefault="0062136B" w:rsidP="0062136B">
      <w:pPr>
        <w:pStyle w:val="ListParagraph"/>
        <w:rPr>
          <w:lang w:val="en-US"/>
        </w:rPr>
      </w:pPr>
    </w:p>
    <w:p w:rsidR="0062136B" w:rsidRDefault="0062136B" w:rsidP="0062136B">
      <w:pPr>
        <w:numPr>
          <w:ilvl w:val="0"/>
          <w:numId w:val="1"/>
        </w:numPr>
        <w:autoSpaceDE w:val="0"/>
        <w:autoSpaceDN w:val="0"/>
        <w:adjustRightInd w:val="0"/>
        <w:jc w:val="both"/>
        <w:rPr>
          <w:lang w:eastAsia="en-US"/>
        </w:rPr>
      </w:pPr>
      <w:r>
        <w:rPr>
          <w:lang w:val="en-US"/>
        </w:rPr>
        <w:t xml:space="preserve">In this regard the Panel notes that no application was ever made to the </w:t>
      </w:r>
      <w:r>
        <w:rPr>
          <w:lang w:eastAsia="en-US"/>
        </w:rPr>
        <w:t>Housing and Property Directorate or its successor, the KPA</w:t>
      </w:r>
      <w:r>
        <w:rPr>
          <w:lang w:val="en-US"/>
        </w:rPr>
        <w:t xml:space="preserve"> </w:t>
      </w:r>
      <w:r>
        <w:rPr>
          <w:lang w:eastAsia="en-US"/>
        </w:rPr>
        <w:t xml:space="preserve">with respect to administration of this specific property. </w:t>
      </w:r>
    </w:p>
    <w:p w:rsidR="0062136B" w:rsidRDefault="0062136B" w:rsidP="0062136B">
      <w:pPr>
        <w:autoSpaceDE w:val="0"/>
        <w:autoSpaceDN w:val="0"/>
        <w:adjustRightInd w:val="0"/>
        <w:jc w:val="both"/>
        <w:rPr>
          <w:lang w:eastAsia="en-US"/>
        </w:rPr>
      </w:pPr>
    </w:p>
    <w:p w:rsidR="0062136B" w:rsidRDefault="0062136B" w:rsidP="0062136B">
      <w:pPr>
        <w:numPr>
          <w:ilvl w:val="0"/>
          <w:numId w:val="1"/>
        </w:numPr>
        <w:jc w:val="both"/>
      </w:pPr>
      <w:r>
        <w:rPr>
          <w:lang w:eastAsia="en-US"/>
        </w:rPr>
        <w:t xml:space="preserve">The Panel is also further aware that had such an application been made </w:t>
      </w:r>
      <w:r>
        <w:t xml:space="preserve">the KPA this in no way guarantees that </w:t>
      </w:r>
      <w:r>
        <w:rPr>
          <w:rStyle w:val="contacttext"/>
        </w:rPr>
        <w:t>any income from the property will be realised, nor does it guarantee</w:t>
      </w:r>
      <w:r>
        <w:t xml:space="preserve"> that a rent-paying tenant will be found to reside at the property. A payment can be disbursed to the owner only if the tenant pays rents to the KPA</w:t>
      </w:r>
      <w:r>
        <w:rPr>
          <w:lang w:eastAsia="en-US"/>
        </w:rPr>
        <w:t xml:space="preserve"> (</w:t>
      </w:r>
      <w:r>
        <w:t>see HRAP,</w:t>
      </w:r>
      <w:r>
        <w:rPr>
          <w:i/>
        </w:rPr>
        <w:t xml:space="preserve"> </w:t>
      </w:r>
      <w:proofErr w:type="spellStart"/>
      <w:r>
        <w:rPr>
          <w:i/>
        </w:rPr>
        <w:t>Trajković</w:t>
      </w:r>
      <w:proofErr w:type="spellEnd"/>
      <w:r>
        <w:t xml:space="preserve">, no. 35/08, decision of 17 April 2009, § 20). </w:t>
      </w:r>
    </w:p>
    <w:p w:rsidR="0062136B" w:rsidRDefault="0062136B" w:rsidP="0062136B">
      <w:pPr>
        <w:autoSpaceDE w:val="0"/>
        <w:autoSpaceDN w:val="0"/>
        <w:adjustRightInd w:val="0"/>
        <w:jc w:val="both"/>
        <w:rPr>
          <w:lang w:eastAsia="en-US"/>
        </w:rPr>
      </w:pPr>
    </w:p>
    <w:p w:rsidR="0062136B" w:rsidRDefault="0062136B" w:rsidP="0062136B">
      <w:pPr>
        <w:numPr>
          <w:ilvl w:val="0"/>
          <w:numId w:val="1"/>
        </w:numPr>
        <w:jc w:val="both"/>
        <w:rPr>
          <w:lang w:eastAsia="en-US"/>
        </w:rPr>
      </w:pPr>
      <w:r>
        <w:rPr>
          <w:lang w:val="en-US"/>
        </w:rPr>
        <w:t xml:space="preserve">Therefore, the Panel is of the view that the complaint must be rejected as being manifestly ill-founded within the meaning of Section 3.3 of Regulation No. 2006/12. </w:t>
      </w:r>
    </w:p>
    <w:p w:rsidR="0062136B" w:rsidRDefault="0062136B" w:rsidP="0062136B">
      <w:pPr>
        <w:autoSpaceDE w:val="0"/>
        <w:autoSpaceDN w:val="0"/>
        <w:adjustRightInd w:val="0"/>
        <w:jc w:val="both"/>
        <w:rPr>
          <w:lang w:eastAsia="en-US"/>
        </w:rPr>
      </w:pPr>
    </w:p>
    <w:p w:rsidR="0062136B" w:rsidRDefault="0062136B" w:rsidP="0062136B">
      <w:pPr>
        <w:autoSpaceDE w:val="0"/>
        <w:autoSpaceDN w:val="0"/>
        <w:adjustRightInd w:val="0"/>
        <w:jc w:val="both"/>
        <w:rPr>
          <w:b/>
          <w:bCs/>
          <w:lang w:eastAsia="en-US"/>
        </w:rPr>
      </w:pPr>
    </w:p>
    <w:p w:rsidR="0062136B" w:rsidRDefault="0062136B" w:rsidP="0062136B">
      <w:pPr>
        <w:autoSpaceDE w:val="0"/>
        <w:autoSpaceDN w:val="0"/>
        <w:adjustRightInd w:val="0"/>
        <w:jc w:val="both"/>
        <w:rPr>
          <w:b/>
          <w:bCs/>
          <w:lang w:eastAsia="en-US"/>
        </w:rPr>
      </w:pPr>
    </w:p>
    <w:p w:rsidR="0062136B" w:rsidRDefault="0062136B" w:rsidP="0062136B">
      <w:pPr>
        <w:autoSpaceDE w:val="0"/>
        <w:autoSpaceDN w:val="0"/>
        <w:adjustRightInd w:val="0"/>
        <w:jc w:val="both"/>
        <w:rPr>
          <w:b/>
          <w:bCs/>
          <w:lang w:eastAsia="en-US"/>
        </w:rPr>
      </w:pPr>
      <w:r>
        <w:rPr>
          <w:b/>
          <w:bCs/>
          <w:lang w:eastAsia="en-US"/>
        </w:rPr>
        <w:t>FOR THESE REASONS,</w:t>
      </w:r>
    </w:p>
    <w:p w:rsidR="0062136B" w:rsidRDefault="0062136B" w:rsidP="0062136B">
      <w:pPr>
        <w:autoSpaceDE w:val="0"/>
        <w:autoSpaceDN w:val="0"/>
        <w:adjustRightInd w:val="0"/>
        <w:jc w:val="both"/>
        <w:rPr>
          <w:lang w:eastAsia="en-US"/>
        </w:rPr>
      </w:pPr>
    </w:p>
    <w:p w:rsidR="0062136B" w:rsidRDefault="0062136B" w:rsidP="0062136B">
      <w:pPr>
        <w:autoSpaceDE w:val="0"/>
        <w:autoSpaceDN w:val="0"/>
        <w:adjustRightInd w:val="0"/>
        <w:jc w:val="both"/>
        <w:rPr>
          <w:lang w:eastAsia="en-US"/>
        </w:rPr>
      </w:pPr>
    </w:p>
    <w:p w:rsidR="0062136B" w:rsidRDefault="0062136B" w:rsidP="0062136B">
      <w:pPr>
        <w:autoSpaceDE w:val="0"/>
        <w:autoSpaceDN w:val="0"/>
        <w:adjustRightInd w:val="0"/>
        <w:jc w:val="both"/>
        <w:rPr>
          <w:lang w:eastAsia="en-US"/>
        </w:rPr>
      </w:pPr>
      <w:r>
        <w:rPr>
          <w:lang w:eastAsia="en-US"/>
        </w:rPr>
        <w:t>The Panel, unanimously,</w:t>
      </w:r>
    </w:p>
    <w:p w:rsidR="0062136B" w:rsidRDefault="0062136B" w:rsidP="0062136B">
      <w:pPr>
        <w:autoSpaceDE w:val="0"/>
        <w:autoSpaceDN w:val="0"/>
        <w:adjustRightInd w:val="0"/>
        <w:jc w:val="both"/>
        <w:rPr>
          <w:lang w:eastAsia="en-US"/>
        </w:rPr>
      </w:pPr>
    </w:p>
    <w:p w:rsidR="0062136B" w:rsidRDefault="0062136B" w:rsidP="0062136B">
      <w:pPr>
        <w:autoSpaceDE w:val="0"/>
        <w:autoSpaceDN w:val="0"/>
        <w:adjustRightInd w:val="0"/>
        <w:jc w:val="both"/>
        <w:rPr>
          <w:b/>
          <w:lang w:val="en-US"/>
        </w:rPr>
      </w:pPr>
    </w:p>
    <w:p w:rsidR="0062136B" w:rsidRDefault="0062136B" w:rsidP="0062136B">
      <w:pPr>
        <w:autoSpaceDE w:val="0"/>
        <w:autoSpaceDN w:val="0"/>
        <w:adjustRightInd w:val="0"/>
        <w:jc w:val="both"/>
        <w:rPr>
          <w:b/>
          <w:lang w:val="en-US"/>
        </w:rPr>
      </w:pPr>
    </w:p>
    <w:p w:rsidR="0062136B" w:rsidRDefault="0062136B" w:rsidP="0062136B">
      <w:pPr>
        <w:pStyle w:val="ListParagraph"/>
        <w:numPr>
          <w:ilvl w:val="0"/>
          <w:numId w:val="2"/>
        </w:numPr>
        <w:tabs>
          <w:tab w:val="left" w:pos="284"/>
        </w:tabs>
        <w:autoSpaceDE w:val="0"/>
        <w:autoSpaceDN w:val="0"/>
        <w:adjustRightInd w:val="0"/>
        <w:ind w:left="0" w:hanging="11"/>
        <w:jc w:val="both"/>
        <w:rPr>
          <w:b/>
          <w:lang w:eastAsia="en-US"/>
        </w:rPr>
      </w:pPr>
      <w:r>
        <w:rPr>
          <w:b/>
          <w:lang w:val="en-US"/>
        </w:rPr>
        <w:t>DECIDES TO STRIKE OUT THE ELEMENT OF THE COMPLAINT IN SO FAR AS IT RELATES TO THE UNLAWFUL USURPATION OF THE PROPERTY;</w:t>
      </w:r>
      <w:bookmarkStart w:id="0" w:name="_GoBack"/>
      <w:bookmarkEnd w:id="0"/>
    </w:p>
    <w:p w:rsidR="0062136B" w:rsidRDefault="0062136B" w:rsidP="0062136B">
      <w:pPr>
        <w:autoSpaceDE w:val="0"/>
        <w:autoSpaceDN w:val="0"/>
        <w:adjustRightInd w:val="0"/>
        <w:jc w:val="both"/>
        <w:rPr>
          <w:lang w:eastAsia="en-US"/>
        </w:rPr>
      </w:pPr>
    </w:p>
    <w:p w:rsidR="0062136B" w:rsidRDefault="0062136B" w:rsidP="0062136B">
      <w:pPr>
        <w:pStyle w:val="ListParagraph"/>
        <w:numPr>
          <w:ilvl w:val="0"/>
          <w:numId w:val="2"/>
        </w:numPr>
        <w:tabs>
          <w:tab w:val="left" w:pos="284"/>
        </w:tabs>
        <w:autoSpaceDE w:val="0"/>
        <w:autoSpaceDN w:val="0"/>
        <w:adjustRightInd w:val="0"/>
        <w:ind w:left="0" w:firstLine="0"/>
        <w:jc w:val="both"/>
        <w:rPr>
          <w:b/>
          <w:bCs/>
          <w:lang w:eastAsia="en-US"/>
        </w:rPr>
      </w:pPr>
      <w:r>
        <w:rPr>
          <w:b/>
          <w:lang w:val="en-US"/>
        </w:rPr>
        <w:t>DECLARES INADMISSIBLE THE REMAINDER OF THE COMPLAINT</w:t>
      </w:r>
      <w:r>
        <w:rPr>
          <w:b/>
          <w:bCs/>
          <w:lang w:eastAsia="en-US"/>
        </w:rPr>
        <w:t>.</w:t>
      </w: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b/>
          <w:bCs/>
          <w:lang w:eastAsia="en-US"/>
        </w:rPr>
      </w:pPr>
    </w:p>
    <w:p w:rsidR="0062136B" w:rsidRDefault="0062136B" w:rsidP="0062136B">
      <w:pPr>
        <w:autoSpaceDE w:val="0"/>
        <w:autoSpaceDN w:val="0"/>
        <w:adjustRightInd w:val="0"/>
        <w:rPr>
          <w:lang w:eastAsia="en-US"/>
        </w:rPr>
      </w:pPr>
      <w:r>
        <w:rPr>
          <w:b/>
          <w:bCs/>
          <w:lang w:eastAsia="en-US"/>
        </w:rPr>
        <w:br/>
      </w:r>
      <w:proofErr w:type="spellStart"/>
      <w:r>
        <w:rPr>
          <w:lang w:eastAsia="en-US"/>
        </w:rPr>
        <w:t>Andrey</w:t>
      </w:r>
      <w:proofErr w:type="spellEnd"/>
      <w:r>
        <w:rPr>
          <w:lang w:eastAsia="en-US"/>
        </w:rPr>
        <w:t xml:space="preserve"> ANTONOV</w:t>
      </w:r>
      <w:r>
        <w:rPr>
          <w:lang w:eastAsia="en-US"/>
        </w:rPr>
        <w:tab/>
      </w:r>
      <w:r>
        <w:rPr>
          <w:lang w:eastAsia="en-US"/>
        </w:rPr>
        <w:tab/>
      </w:r>
      <w:r>
        <w:rPr>
          <w:lang w:eastAsia="en-US"/>
        </w:rPr>
        <w:tab/>
      </w:r>
      <w:r>
        <w:rPr>
          <w:lang w:eastAsia="en-US"/>
        </w:rPr>
        <w:tab/>
      </w:r>
      <w:r>
        <w:rPr>
          <w:lang w:eastAsia="en-US"/>
        </w:rPr>
        <w:tab/>
      </w:r>
      <w:r>
        <w:rPr>
          <w:lang w:eastAsia="en-US"/>
        </w:rPr>
        <w:tab/>
        <w:t xml:space="preserve">   </w:t>
      </w:r>
      <w:proofErr w:type="spellStart"/>
      <w:r>
        <w:rPr>
          <w:lang w:eastAsia="en-US"/>
        </w:rPr>
        <w:t>Marek</w:t>
      </w:r>
      <w:proofErr w:type="spellEnd"/>
      <w:r>
        <w:rPr>
          <w:lang w:eastAsia="en-US"/>
        </w:rPr>
        <w:t xml:space="preserve"> NOWICKI</w:t>
      </w:r>
    </w:p>
    <w:p w:rsidR="0062136B" w:rsidRDefault="0062136B" w:rsidP="0062136B">
      <w:pPr>
        <w:jc w:val="both"/>
      </w:pPr>
      <w:r>
        <w:rPr>
          <w:lang w:eastAsia="en-US"/>
        </w:rPr>
        <w:t>Executive Officer</w:t>
      </w:r>
      <w:r>
        <w:rPr>
          <w:lang w:eastAsia="en-US"/>
        </w:rPr>
        <w:tab/>
      </w:r>
      <w:r>
        <w:rPr>
          <w:lang w:eastAsia="en-US"/>
        </w:rPr>
        <w:tab/>
      </w:r>
      <w:r>
        <w:rPr>
          <w:lang w:eastAsia="en-US"/>
        </w:rPr>
        <w:tab/>
      </w:r>
      <w:r>
        <w:rPr>
          <w:lang w:eastAsia="en-US"/>
        </w:rPr>
        <w:tab/>
      </w:r>
      <w:r>
        <w:rPr>
          <w:lang w:eastAsia="en-US"/>
        </w:rPr>
        <w:tab/>
      </w:r>
      <w:r>
        <w:rPr>
          <w:lang w:eastAsia="en-US"/>
        </w:rPr>
        <w:tab/>
        <w:t xml:space="preserve">   Presiding Member</w:t>
      </w:r>
    </w:p>
    <w:p w:rsidR="00307632" w:rsidRDefault="00307632"/>
    <w:sectPr w:rsidR="00307632" w:rsidSect="0062136B">
      <w:headerReference w:type="default" r:id="rId8"/>
      <w:pgSz w:w="11906" w:h="16838"/>
      <w:pgMar w:top="1069" w:right="1440" w:bottom="851" w:left="144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1D" w:rsidRDefault="0039271D" w:rsidP="0062136B">
      <w:r>
        <w:separator/>
      </w:r>
    </w:p>
  </w:endnote>
  <w:endnote w:type="continuationSeparator" w:id="0">
    <w:p w:rsidR="0039271D" w:rsidRDefault="0039271D" w:rsidP="00621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1D" w:rsidRDefault="0039271D" w:rsidP="0062136B">
      <w:r>
        <w:separator/>
      </w:r>
    </w:p>
  </w:footnote>
  <w:footnote w:type="continuationSeparator" w:id="0">
    <w:p w:rsidR="0039271D" w:rsidRDefault="0039271D" w:rsidP="00621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6B" w:rsidRPr="0062136B" w:rsidRDefault="0062136B" w:rsidP="0062136B">
    <w:pPr>
      <w:pStyle w:val="Header"/>
      <w:jc w:val="right"/>
      <w:rPr>
        <w:sz w:val="22"/>
        <w:szCs w:val="22"/>
      </w:rPr>
    </w:pPr>
    <w:r w:rsidRPr="0062136B">
      <w:rPr>
        <w:sz w:val="22"/>
        <w:szCs w:val="22"/>
      </w:rPr>
      <w:t>2</w:t>
    </w:r>
  </w:p>
  <w:p w:rsidR="0062136B" w:rsidRDefault="00621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rPr>
    </w:lvl>
    <w:lvl w:ilvl="3" w:tplc="041C000F">
      <w:start w:val="1"/>
      <w:numFmt w:val="decimal"/>
      <w:lvlText w:val="%4."/>
      <w:lvlJc w:val="left"/>
      <w:pPr>
        <w:ind w:left="2520" w:hanging="360"/>
      </w:pPr>
      <w:rPr>
        <w:rFonts w:cs="Times New Roman"/>
      </w:rPr>
    </w:lvl>
    <w:lvl w:ilvl="4" w:tplc="041C0019">
      <w:start w:val="1"/>
      <w:numFmt w:val="lowerLetter"/>
      <w:lvlText w:val="%5."/>
      <w:lvlJc w:val="left"/>
      <w:pPr>
        <w:ind w:left="3240" w:hanging="360"/>
      </w:pPr>
      <w:rPr>
        <w:rFonts w:cs="Times New Roman"/>
      </w:rPr>
    </w:lvl>
    <w:lvl w:ilvl="5" w:tplc="041C001B">
      <w:start w:val="1"/>
      <w:numFmt w:val="lowerRoman"/>
      <w:lvlText w:val="%6."/>
      <w:lvlJc w:val="right"/>
      <w:pPr>
        <w:ind w:left="3960" w:hanging="180"/>
      </w:pPr>
      <w:rPr>
        <w:rFonts w:cs="Times New Roman"/>
      </w:rPr>
    </w:lvl>
    <w:lvl w:ilvl="6" w:tplc="041C000F">
      <w:start w:val="1"/>
      <w:numFmt w:val="decimal"/>
      <w:lvlText w:val="%7."/>
      <w:lvlJc w:val="left"/>
      <w:pPr>
        <w:ind w:left="4680" w:hanging="360"/>
      </w:pPr>
      <w:rPr>
        <w:rFonts w:cs="Times New Roman"/>
      </w:rPr>
    </w:lvl>
    <w:lvl w:ilvl="7" w:tplc="041C0019">
      <w:start w:val="1"/>
      <w:numFmt w:val="lowerLetter"/>
      <w:lvlText w:val="%8."/>
      <w:lvlJc w:val="left"/>
      <w:pPr>
        <w:ind w:left="5400" w:hanging="360"/>
      </w:pPr>
      <w:rPr>
        <w:rFonts w:cs="Times New Roman"/>
      </w:rPr>
    </w:lvl>
    <w:lvl w:ilvl="8" w:tplc="041C001B">
      <w:start w:val="1"/>
      <w:numFmt w:val="lowerRoman"/>
      <w:lvlText w:val="%9."/>
      <w:lvlJc w:val="right"/>
      <w:pPr>
        <w:ind w:left="6120" w:hanging="180"/>
      </w:pPr>
      <w:rPr>
        <w:rFonts w:cs="Times New Roman"/>
      </w:rPr>
    </w:lvl>
  </w:abstractNum>
  <w:abstractNum w:abstractNumId="1">
    <w:nsid w:val="65024500"/>
    <w:multiLevelType w:val="hybridMultilevel"/>
    <w:tmpl w:val="4D0C5994"/>
    <w:lvl w:ilvl="0" w:tplc="E96EAA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62136B"/>
    <w:rsid w:val="000A5857"/>
    <w:rsid w:val="00271F91"/>
    <w:rsid w:val="00307632"/>
    <w:rsid w:val="0039271D"/>
    <w:rsid w:val="00621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36B"/>
    <w:pPr>
      <w:ind w:left="708"/>
    </w:pPr>
  </w:style>
  <w:style w:type="character" w:customStyle="1" w:styleId="contacttext">
    <w:name w:val="contacttext"/>
    <w:basedOn w:val="DefaultParagraphFont"/>
    <w:rsid w:val="0062136B"/>
  </w:style>
  <w:style w:type="paragraph" w:styleId="BalloonText">
    <w:name w:val="Balloon Text"/>
    <w:basedOn w:val="Normal"/>
    <w:link w:val="BalloonTextChar"/>
    <w:uiPriority w:val="99"/>
    <w:semiHidden/>
    <w:unhideWhenUsed/>
    <w:rsid w:val="0062136B"/>
    <w:rPr>
      <w:rFonts w:ascii="Tahoma" w:hAnsi="Tahoma" w:cs="Tahoma"/>
      <w:sz w:val="16"/>
      <w:szCs w:val="16"/>
    </w:rPr>
  </w:style>
  <w:style w:type="character" w:customStyle="1" w:styleId="BalloonTextChar">
    <w:name w:val="Balloon Text Char"/>
    <w:basedOn w:val="DefaultParagraphFont"/>
    <w:link w:val="BalloonText"/>
    <w:uiPriority w:val="99"/>
    <w:semiHidden/>
    <w:rsid w:val="0062136B"/>
    <w:rPr>
      <w:rFonts w:ascii="Tahoma" w:eastAsia="Times New Roman" w:hAnsi="Tahoma" w:cs="Tahoma"/>
      <w:sz w:val="16"/>
      <w:szCs w:val="16"/>
      <w:lang w:eastAsia="en-GB"/>
    </w:rPr>
  </w:style>
  <w:style w:type="paragraph" w:styleId="Header">
    <w:name w:val="header"/>
    <w:basedOn w:val="Normal"/>
    <w:link w:val="HeaderChar"/>
    <w:uiPriority w:val="99"/>
    <w:unhideWhenUsed/>
    <w:rsid w:val="0062136B"/>
    <w:pPr>
      <w:tabs>
        <w:tab w:val="center" w:pos="4513"/>
        <w:tab w:val="right" w:pos="9026"/>
      </w:tabs>
    </w:pPr>
  </w:style>
  <w:style w:type="character" w:customStyle="1" w:styleId="HeaderChar">
    <w:name w:val="Header Char"/>
    <w:basedOn w:val="DefaultParagraphFont"/>
    <w:link w:val="Header"/>
    <w:uiPriority w:val="99"/>
    <w:rsid w:val="006213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136B"/>
    <w:pPr>
      <w:tabs>
        <w:tab w:val="center" w:pos="4513"/>
        <w:tab w:val="right" w:pos="9026"/>
      </w:tabs>
    </w:pPr>
  </w:style>
  <w:style w:type="character" w:customStyle="1" w:styleId="FooterChar">
    <w:name w:val="Footer Char"/>
    <w:basedOn w:val="DefaultParagraphFont"/>
    <w:link w:val="Footer"/>
    <w:uiPriority w:val="99"/>
    <w:rsid w:val="0062136B"/>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136B"/>
    <w:pPr>
      <w:ind w:left="708"/>
    </w:pPr>
  </w:style>
  <w:style w:type="character" w:customStyle="1" w:styleId="contacttext">
    <w:name w:val="contacttext"/>
    <w:basedOn w:val="DefaultParagraphFont"/>
    <w:rsid w:val="0062136B"/>
  </w:style>
  <w:style w:type="paragraph" w:styleId="BalloonText">
    <w:name w:val="Balloon Text"/>
    <w:basedOn w:val="Normal"/>
    <w:link w:val="BalloonTextChar"/>
    <w:uiPriority w:val="99"/>
    <w:semiHidden/>
    <w:unhideWhenUsed/>
    <w:rsid w:val="0062136B"/>
    <w:rPr>
      <w:rFonts w:ascii="Tahoma" w:hAnsi="Tahoma" w:cs="Tahoma"/>
      <w:sz w:val="16"/>
      <w:szCs w:val="16"/>
    </w:rPr>
  </w:style>
  <w:style w:type="character" w:customStyle="1" w:styleId="BalloonTextChar">
    <w:name w:val="Balloon Text Char"/>
    <w:basedOn w:val="DefaultParagraphFont"/>
    <w:link w:val="BalloonText"/>
    <w:uiPriority w:val="99"/>
    <w:semiHidden/>
    <w:rsid w:val="0062136B"/>
    <w:rPr>
      <w:rFonts w:ascii="Tahoma" w:eastAsia="Times New Roman" w:hAnsi="Tahoma" w:cs="Tahoma"/>
      <w:sz w:val="16"/>
      <w:szCs w:val="16"/>
      <w:lang w:eastAsia="en-GB"/>
    </w:rPr>
  </w:style>
  <w:style w:type="paragraph" w:styleId="Header">
    <w:name w:val="header"/>
    <w:basedOn w:val="Normal"/>
    <w:link w:val="HeaderChar"/>
    <w:uiPriority w:val="99"/>
    <w:unhideWhenUsed/>
    <w:rsid w:val="0062136B"/>
    <w:pPr>
      <w:tabs>
        <w:tab w:val="center" w:pos="4513"/>
        <w:tab w:val="right" w:pos="9026"/>
      </w:tabs>
    </w:pPr>
  </w:style>
  <w:style w:type="character" w:customStyle="1" w:styleId="HeaderChar">
    <w:name w:val="Header Char"/>
    <w:basedOn w:val="DefaultParagraphFont"/>
    <w:link w:val="Header"/>
    <w:uiPriority w:val="99"/>
    <w:rsid w:val="006213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136B"/>
    <w:pPr>
      <w:tabs>
        <w:tab w:val="center" w:pos="4513"/>
        <w:tab w:val="right" w:pos="9026"/>
      </w:tabs>
    </w:pPr>
  </w:style>
  <w:style w:type="character" w:customStyle="1" w:styleId="FooterChar">
    <w:name w:val="Footer Char"/>
    <w:basedOn w:val="DefaultParagraphFont"/>
    <w:link w:val="Footer"/>
    <w:uiPriority w:val="99"/>
    <w:rsid w:val="0062136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146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TOMANOVIĆ, Verica</Reference>
    <Case_x0020_Year xmlns="63130c8a-8d1f-4e28-8ee3-43603ca9ef3b">2009</Case_x0020_Year>
    <Case_x0020_Status xmlns="16f2acb5-7363-4076-9084-069fc3bb4325">CASE CLOSED</Case_x0020_Status>
    <Date_x0020_of_x0020_Adoption xmlns="16f2acb5-7363-4076-9084-069fc3bb4325">2012-12-05T23:00:00+00:00</Date_x0020_of_x0020_Adoption>
    <Case_x0020_Number xmlns="16f2acb5-7363-4076-9084-069fc3bb4325">191/09</Case_x0020_Number>
    <Type_x0020_of_x0020_Document xmlns="16f2acb5-7363-4076-9084-069fc3bb4325">Decision - Inadmissible</Type_x0020_of_x0020_Document>
    <_dlc_DocId xmlns="b9fab99d-1571-47f6-8995-3a195ef041f8">M5JDUUKXSQ5W-25-689</_dlc_DocId>
    <_dlc_DocIdUrl xmlns="b9fab99d-1571-47f6-8995-3a195ef041f8">
      <Url>http://www.unmikonline.org/hrap/Eng/_layouts/DocIdRedir.aspx?ID=M5JDUUKXSQ5W-25-689</Url>
      <Description>M5JDUUKXSQ5W-25-689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39117-689C-42CA-B5F3-B5496A9C437A}"/>
</file>

<file path=customXml/itemProps2.xml><?xml version="1.0" encoding="utf-8"?>
<ds:datastoreItem xmlns:ds="http://schemas.openxmlformats.org/officeDocument/2006/customXml" ds:itemID="{5ED55E81-7348-49A9-8C99-ACF0727F450D}"/>
</file>

<file path=customXml/itemProps3.xml><?xml version="1.0" encoding="utf-8"?>
<ds:datastoreItem xmlns:ds="http://schemas.openxmlformats.org/officeDocument/2006/customXml" ds:itemID="{FF310C09-9F17-4EBE-B867-8577A2DB66B1}"/>
</file>

<file path=customXml/itemProps4.xml><?xml version="1.0" encoding="utf-8"?>
<ds:datastoreItem xmlns:ds="http://schemas.openxmlformats.org/officeDocument/2006/customXml" ds:itemID="{4CE26148-DFCD-45CE-BF9C-FCE86F02A25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Snezana Martinovic</dc:creator>
  <cp:lastModifiedBy>bgardner</cp:lastModifiedBy>
  <cp:revision>2</cp:revision>
  <cp:lastPrinted>2012-12-08T09:33:00Z</cp:lastPrinted>
  <dcterms:created xsi:type="dcterms:W3CDTF">2013-01-15T09:25:00Z</dcterms:created>
  <dcterms:modified xsi:type="dcterms:W3CDTF">2013-01-15T09:25:00Z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d9a1e86c-bbbb-4449-a145-18ecfa42250e</vt:lpwstr>
  </property>
</Properties>
</file>